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4AC2" w14:textId="77777777" w:rsidR="00FD4956" w:rsidRDefault="00FD4956" w:rsidP="00FD4956">
      <w:pPr>
        <w:widowControl w:val="0"/>
        <w:pBdr>
          <w:bottom w:val="single" w:sz="4" w:space="1" w:color="auto"/>
        </w:pBdr>
        <w:spacing w:line="360" w:lineRule="auto"/>
        <w:jc w:val="both"/>
      </w:pPr>
    </w:p>
    <w:p w14:paraId="5728C28D" w14:textId="77777777" w:rsidR="00FD4956" w:rsidRDefault="00FD4956" w:rsidP="00FD4956">
      <w:pPr>
        <w:widowControl w:val="0"/>
        <w:pBdr>
          <w:bottom w:val="single" w:sz="4" w:space="1" w:color="auto"/>
        </w:pBdr>
        <w:spacing w:line="360" w:lineRule="auto"/>
        <w:jc w:val="both"/>
      </w:pPr>
      <w:r>
        <w:t>Pflichtangaben für Fachkreise</w:t>
      </w:r>
    </w:p>
    <w:p w14:paraId="7B6F09ED" w14:textId="77777777" w:rsidR="00960BE9" w:rsidRDefault="00960BE9" w:rsidP="00FD4956">
      <w:pPr>
        <w:widowControl w:val="0"/>
        <w:spacing w:line="360" w:lineRule="auto"/>
        <w:jc w:val="both"/>
        <w:rPr>
          <w:b/>
        </w:rPr>
      </w:pPr>
    </w:p>
    <w:p w14:paraId="243D1264" w14:textId="2C816792" w:rsidR="002D7F32" w:rsidRDefault="00F54A71" w:rsidP="00FD4956">
      <w:pPr>
        <w:widowControl w:val="0"/>
        <w:spacing w:line="360" w:lineRule="auto"/>
        <w:jc w:val="both"/>
        <w:rPr>
          <w:b/>
        </w:rPr>
      </w:pPr>
      <w:r w:rsidRPr="00F54A71">
        <w:rPr>
          <w:b/>
        </w:rPr>
        <w:t>APO-go</w:t>
      </w:r>
      <w:r w:rsidRPr="00F54A71">
        <w:rPr>
          <w:b/>
          <w:vertAlign w:val="superscript"/>
        </w:rPr>
        <w:t>®</w:t>
      </w:r>
      <w:r w:rsidRPr="00F54A71">
        <w:rPr>
          <w:b/>
        </w:rPr>
        <w:t xml:space="preserve"> 5 mg/ml Infusionslösung in einer Patrone</w:t>
      </w:r>
    </w:p>
    <w:p w14:paraId="31D53412" w14:textId="78EF706A" w:rsidR="002D7F32" w:rsidRDefault="00FD4956" w:rsidP="00FD4956">
      <w:pPr>
        <w:widowControl w:val="0"/>
        <w:spacing w:line="360" w:lineRule="auto"/>
        <w:jc w:val="both"/>
      </w:pPr>
      <w:r w:rsidRPr="005D1E47">
        <w:rPr>
          <w:b/>
          <w:bCs/>
        </w:rPr>
        <w:t>Wirkstoff:</w:t>
      </w:r>
      <w:r>
        <w:t xml:space="preserve"> </w:t>
      </w:r>
      <w:r w:rsidR="00725951" w:rsidRPr="00725951">
        <w:t>Apomorphinhydrochlorid</w:t>
      </w:r>
      <w:r w:rsidR="004A75C9">
        <w:t>.</w:t>
      </w:r>
    </w:p>
    <w:p w14:paraId="2DA340E5" w14:textId="50408319" w:rsidR="00FD4956" w:rsidRPr="002A5D4D" w:rsidRDefault="00FD4956" w:rsidP="001D46B3">
      <w:pPr>
        <w:widowControl w:val="0"/>
        <w:spacing w:line="360" w:lineRule="auto"/>
        <w:jc w:val="both"/>
      </w:pPr>
      <w:r w:rsidRPr="005D1E47">
        <w:rPr>
          <w:b/>
          <w:bCs/>
        </w:rPr>
        <w:t>Zus.:</w:t>
      </w:r>
      <w:r w:rsidRPr="005B1034">
        <w:t xml:space="preserve"> </w:t>
      </w:r>
      <w:r w:rsidR="002D7F32">
        <w:t>1 ml Infusionslsg</w:t>
      </w:r>
      <w:r w:rsidR="00910AFD">
        <w:t>.</w:t>
      </w:r>
      <w:r w:rsidR="002D7F32">
        <w:t xml:space="preserve"> enth. 5 mg Apomorphinhydrochlorid. Jede 20</w:t>
      </w:r>
      <w:r w:rsidR="00910AFD">
        <w:t>-</w:t>
      </w:r>
      <w:r w:rsidR="002D7F32">
        <w:t>ml</w:t>
      </w:r>
      <w:r w:rsidR="00910AFD">
        <w:t>-</w:t>
      </w:r>
      <w:r w:rsidR="002D7F32">
        <w:t xml:space="preserve">Patrone enth. 100 mg Apomorphinhydrochlorid. </w:t>
      </w:r>
      <w:r w:rsidRPr="005D1E47">
        <w:rPr>
          <w:b/>
          <w:bCs/>
          <w:iCs/>
        </w:rPr>
        <w:t>Sonst. Bestandt.:</w:t>
      </w:r>
      <w:r w:rsidRPr="002A5D4D">
        <w:t xml:space="preserve"> </w:t>
      </w:r>
      <w:r w:rsidR="001D46B3">
        <w:t xml:space="preserve">Na-metabisulfit, Salzsäure 36% (z. </w:t>
      </w:r>
      <w:r w:rsidR="00A531AE">
        <w:t>pH-Wert-</w:t>
      </w:r>
      <w:r w:rsidR="001D46B3">
        <w:t>Einstell.), Wasser f. Injekt</w:t>
      </w:r>
      <w:r w:rsidR="00972DE1">
        <w:t>.</w:t>
      </w:r>
      <w:r w:rsidR="001D46B3">
        <w:t>zwecke.</w:t>
      </w:r>
    </w:p>
    <w:p w14:paraId="6AFD69AE" w14:textId="70D82648" w:rsidR="00FD4956" w:rsidRPr="00CD1CDC" w:rsidRDefault="00FD4956" w:rsidP="006110D1">
      <w:pPr>
        <w:widowControl w:val="0"/>
        <w:spacing w:line="360" w:lineRule="auto"/>
        <w:jc w:val="both"/>
      </w:pPr>
      <w:r w:rsidRPr="005D1E47">
        <w:rPr>
          <w:b/>
          <w:bCs/>
        </w:rPr>
        <w:t>Anw.:</w:t>
      </w:r>
      <w:r w:rsidRPr="007924B7">
        <w:t xml:space="preserve"> </w:t>
      </w:r>
      <w:r w:rsidR="006110D1">
        <w:t>B</w:t>
      </w:r>
      <w:r w:rsidR="00791758">
        <w:t>.</w:t>
      </w:r>
      <w:r w:rsidR="006110D1">
        <w:t xml:space="preserve"> Erw. z. Behandl. motor. Fluktuat</w:t>
      </w:r>
      <w:r w:rsidR="004202EA">
        <w:t>.</w:t>
      </w:r>
      <w:r w:rsidR="006110D1">
        <w:t xml:space="preserve"> („ON-OFF“-Phänomen) b. Pat</w:t>
      </w:r>
      <w:r w:rsidR="00972DE1">
        <w:t>.</w:t>
      </w:r>
      <w:r w:rsidR="006110D1">
        <w:t xml:space="preserve"> m</w:t>
      </w:r>
      <w:r w:rsidR="00972DE1">
        <w:t>.</w:t>
      </w:r>
      <w:r w:rsidR="006110D1">
        <w:t xml:space="preserve"> Morbus Parkinson, d</w:t>
      </w:r>
      <w:r w:rsidR="008F0CC3">
        <w:t>.</w:t>
      </w:r>
      <w:r w:rsidR="006110D1">
        <w:t xml:space="preserve"> durch oral angewend</w:t>
      </w:r>
      <w:r w:rsidR="004202EA">
        <w:t>.</w:t>
      </w:r>
      <w:r w:rsidR="006110D1">
        <w:t xml:space="preserve"> Antiparkinson</w:t>
      </w:r>
      <w:r w:rsidR="00972DE1">
        <w:t>-</w:t>
      </w:r>
      <w:r w:rsidR="006110D1">
        <w:t>A</w:t>
      </w:r>
      <w:r w:rsidR="008F0CC3">
        <w:t>M</w:t>
      </w:r>
      <w:r w:rsidR="006110D1">
        <w:t xml:space="preserve"> nicht ausreich</w:t>
      </w:r>
      <w:r w:rsidR="004202EA">
        <w:t>.</w:t>
      </w:r>
      <w:r w:rsidR="006110D1">
        <w:t xml:space="preserve"> behandelbar sind.</w:t>
      </w:r>
    </w:p>
    <w:p w14:paraId="3FF33041" w14:textId="5F5A5BDE" w:rsidR="0071569B" w:rsidRDefault="00FD4956" w:rsidP="0071569B">
      <w:pPr>
        <w:widowControl w:val="0"/>
        <w:spacing w:line="360" w:lineRule="auto"/>
        <w:jc w:val="both"/>
      </w:pPr>
      <w:r w:rsidRPr="005D1E47">
        <w:rPr>
          <w:b/>
          <w:bCs/>
        </w:rPr>
        <w:t>Gegenanz.:</w:t>
      </w:r>
      <w:r>
        <w:t xml:space="preserve"> Überempf. gg. d. Wirkst.</w:t>
      </w:r>
      <w:r w:rsidR="00BC249F">
        <w:t>,</w:t>
      </w:r>
      <w:r>
        <w:t xml:space="preserve"> </w:t>
      </w:r>
      <w:r w:rsidR="00BC249F">
        <w:t xml:space="preserve">Na-metabisulfit </w:t>
      </w:r>
      <w:r>
        <w:t xml:space="preserve">od. e. d. sonst. Bestandt.; </w:t>
      </w:r>
      <w:r w:rsidR="0071569B">
        <w:t>Atemdepress</w:t>
      </w:r>
      <w:r w:rsidR="00BC249F">
        <w:t>.;</w:t>
      </w:r>
      <w:r w:rsidR="0071569B">
        <w:t xml:space="preserve"> Demenz</w:t>
      </w:r>
      <w:r w:rsidR="00BC249F">
        <w:t>;</w:t>
      </w:r>
      <w:r w:rsidR="0071569B">
        <w:t xml:space="preserve"> psychot</w:t>
      </w:r>
      <w:r w:rsidR="00BC249F">
        <w:t>.</w:t>
      </w:r>
      <w:r w:rsidR="0071569B">
        <w:t xml:space="preserve"> Erkrank</w:t>
      </w:r>
      <w:r w:rsidR="00BC249F">
        <w:t>.</w:t>
      </w:r>
      <w:r w:rsidR="00EE7B7F">
        <w:t>;</w:t>
      </w:r>
      <w:r w:rsidR="0071569B">
        <w:t xml:space="preserve"> Leberinsuff</w:t>
      </w:r>
      <w:r w:rsidR="00EE7B7F">
        <w:t xml:space="preserve">.; </w:t>
      </w:r>
      <w:r w:rsidR="0071569B">
        <w:t>Pat</w:t>
      </w:r>
      <w:r w:rsidR="00EE7B7F">
        <w:t>.</w:t>
      </w:r>
      <w:r w:rsidR="0071569B">
        <w:t>, d</w:t>
      </w:r>
      <w:r w:rsidR="008F05AF">
        <w:t>.</w:t>
      </w:r>
      <w:r w:rsidR="0071569B">
        <w:t xml:space="preserve"> auf Levodopa m</w:t>
      </w:r>
      <w:r w:rsidR="008F05AF">
        <w:t>.</w:t>
      </w:r>
      <w:r w:rsidR="0071569B">
        <w:t xml:space="preserve"> e</w:t>
      </w:r>
      <w:r w:rsidR="008F05AF">
        <w:t xml:space="preserve">. </w:t>
      </w:r>
      <w:r w:rsidR="0071569B">
        <w:t>„ON“-Reakt</w:t>
      </w:r>
      <w:r w:rsidR="008F05AF">
        <w:t xml:space="preserve">. </w:t>
      </w:r>
      <w:r w:rsidR="000504C8">
        <w:t>(schwerwieg. Dyskinesien od. Dystonien) ansprechen</w:t>
      </w:r>
      <w:r w:rsidR="003E090B">
        <w:t xml:space="preserve">; </w:t>
      </w:r>
      <w:r w:rsidR="0071569B">
        <w:t>gleichzeit</w:t>
      </w:r>
      <w:r w:rsidR="003E090B">
        <w:t>.</w:t>
      </w:r>
      <w:r w:rsidR="0071569B">
        <w:t xml:space="preserve"> Anw</w:t>
      </w:r>
      <w:r w:rsidR="003E090B">
        <w:t>.</w:t>
      </w:r>
      <w:r w:rsidR="0071569B">
        <w:t xml:space="preserve"> m</w:t>
      </w:r>
      <w:r w:rsidR="003E090B">
        <w:t>.</w:t>
      </w:r>
      <w:r w:rsidR="0071569B">
        <w:t xml:space="preserve"> 5-HT</w:t>
      </w:r>
      <w:r w:rsidR="0071569B" w:rsidRPr="003B311E">
        <w:rPr>
          <w:vertAlign w:val="subscript"/>
        </w:rPr>
        <w:t>3</w:t>
      </w:r>
      <w:r w:rsidR="0071569B">
        <w:t>-Antagon</w:t>
      </w:r>
      <w:r w:rsidR="003B311E">
        <w:t>.</w:t>
      </w:r>
      <w:r w:rsidR="0071569B">
        <w:t xml:space="preserve"> (z.B. Ondansetron, Granisetron, Dolasetron, Palonosetron</w:t>
      </w:r>
      <w:r w:rsidR="000504C8">
        <w:t>,</w:t>
      </w:r>
      <w:r w:rsidR="0071569B">
        <w:t xml:space="preserve"> Alosetron)</w:t>
      </w:r>
      <w:r w:rsidR="003E090B">
        <w:t xml:space="preserve">; </w:t>
      </w:r>
      <w:r w:rsidR="0071569B">
        <w:t>Kdr</w:t>
      </w:r>
      <w:r w:rsidR="003B311E">
        <w:t>.</w:t>
      </w:r>
      <w:r w:rsidR="0071569B">
        <w:t xml:space="preserve"> u</w:t>
      </w:r>
      <w:r w:rsidR="003B311E">
        <w:t>.</w:t>
      </w:r>
      <w:r w:rsidR="0071569B">
        <w:t xml:space="preserve"> Jugendl</w:t>
      </w:r>
      <w:r w:rsidR="003B311E">
        <w:t>.</w:t>
      </w:r>
      <w:r w:rsidR="0071569B">
        <w:t xml:space="preserve"> unter 18 J.</w:t>
      </w:r>
    </w:p>
    <w:p w14:paraId="72E47E2A" w14:textId="77777777" w:rsidR="005E0CD0" w:rsidRPr="00CC134D" w:rsidRDefault="005E0CD0" w:rsidP="005E0CD0">
      <w:pPr>
        <w:widowControl w:val="0"/>
        <w:spacing w:line="360" w:lineRule="auto"/>
        <w:jc w:val="both"/>
      </w:pPr>
      <w:r w:rsidRPr="005D1E47">
        <w:rPr>
          <w:b/>
          <w:bCs/>
          <w:iCs/>
        </w:rPr>
        <w:t>Schwangersch./Stillz.:</w:t>
      </w:r>
      <w:r w:rsidRPr="00CC134D">
        <w:t xml:space="preserve"> Nur nach sorgfält. Nutzen-Risiko-Abwäg.</w:t>
      </w:r>
    </w:p>
    <w:p w14:paraId="1CF9C397" w14:textId="047B3662" w:rsidR="00FD4956" w:rsidRDefault="00FD4956" w:rsidP="00FD4956">
      <w:pPr>
        <w:widowControl w:val="0"/>
        <w:spacing w:line="360" w:lineRule="auto"/>
        <w:jc w:val="both"/>
      </w:pPr>
      <w:r w:rsidRPr="005D1E47">
        <w:rPr>
          <w:b/>
          <w:bCs/>
        </w:rPr>
        <w:t>NW:</w:t>
      </w:r>
      <w:r w:rsidRPr="00CD1CDC">
        <w:t xml:space="preserve"> </w:t>
      </w:r>
      <w:r w:rsidR="00D07CE5" w:rsidRPr="00D07CE5">
        <w:t xml:space="preserve">Hämolyt. Anämie, Thrombozytopenie, Eosinophilie, </w:t>
      </w:r>
      <w:r w:rsidR="00D07CE5" w:rsidRPr="00383738">
        <w:t>Na-metabisulfit: schwere Überempf.reakt.</w:t>
      </w:r>
      <w:r w:rsidR="00D07CE5" w:rsidRPr="00D07CE5">
        <w:t xml:space="preserve"> u. allerg. Reakt. (inkl. Anaphylaxie u. Bronchospasmen), Halluzinat., neuropsychiatr. Stör. (inkl. Verwirrth. u. visuell. Halluzinat.), Impulskontrollstör. </w:t>
      </w:r>
      <w:r w:rsidR="00D07CE5" w:rsidRPr="00EC79C7">
        <w:t>(u.a. patholog. Spielsucht, Libidosteig., Hypersex., zwangh</w:t>
      </w:r>
      <w:r w:rsidR="005F3A81" w:rsidRPr="00EC79C7">
        <w:t>aftes</w:t>
      </w:r>
      <w:r w:rsidR="00D07CE5" w:rsidRPr="00EC79C7">
        <w:t xml:space="preserve"> Geldausgeben od. Einkaufen, Essattack. u. Esszwang)</w:t>
      </w:r>
      <w:r w:rsidR="00EE70C9" w:rsidRPr="00EC79C7">
        <w:t>;</w:t>
      </w:r>
      <w:r w:rsidR="00D07CE5" w:rsidRPr="00D07CE5">
        <w:t xml:space="preserve"> Aggress., Agitierth., Sedier., Somnol., Schwindelgefühl/Benommenh., Dyskinesie (</w:t>
      </w:r>
      <w:r w:rsidR="00EE70C9">
        <w:t>währ.</w:t>
      </w:r>
      <w:r w:rsidR="00D07CE5" w:rsidRPr="00D07CE5">
        <w:t xml:space="preserve"> „ON“-Phasen</w:t>
      </w:r>
      <w:r w:rsidR="00EE70C9">
        <w:t>)</w:t>
      </w:r>
      <w:r w:rsidR="00D07CE5" w:rsidRPr="00D07CE5">
        <w:t>, plötzl. Schlafepisoden, Synkope, Kopfschm., orthostat. Hypotonie, Gähnen, Schwierigk. b. Atmen, Übelk., Erbr., lok</w:t>
      </w:r>
      <w:r w:rsidR="00EE70C9">
        <w:t>.</w:t>
      </w:r>
      <w:r w:rsidR="00D07CE5" w:rsidRPr="00D07CE5">
        <w:t xml:space="preserve"> u. generalis. Hautausschl</w:t>
      </w:r>
      <w:r w:rsidR="00EE70C9">
        <w:t>ag</w:t>
      </w:r>
      <w:r w:rsidR="00D07CE5" w:rsidRPr="00D07CE5">
        <w:t>, Reakt. a</w:t>
      </w:r>
      <w:r w:rsidR="00EE70C9">
        <w:t>.</w:t>
      </w:r>
      <w:r w:rsidR="00D07CE5" w:rsidRPr="00D07CE5">
        <w:t xml:space="preserve"> d. Infus.stelle (</w:t>
      </w:r>
      <w:r w:rsidR="00D07CE5" w:rsidRPr="003356CE">
        <w:t>u.a. subkut. Knoten, Verhärt., Erytheme, Druckschm., Pannikulitis u. lok</w:t>
      </w:r>
      <w:r w:rsidR="00EE70C9" w:rsidRPr="003356CE">
        <w:t>.</w:t>
      </w:r>
      <w:r w:rsidR="00D07CE5" w:rsidRPr="003356CE">
        <w:t xml:space="preserve"> Reakt. wie Reiz., Jucken, blaue Flecken u. Schmerzen),</w:t>
      </w:r>
      <w:r w:rsidR="00D07CE5" w:rsidRPr="00D07CE5">
        <w:t xml:space="preserve"> Nekrosen u. Ulzerat. a. d. Injekt.stelle, periph. Ödem, positiv. Coombs-Test.</w:t>
      </w:r>
    </w:p>
    <w:p w14:paraId="2718EF58" w14:textId="77777777" w:rsidR="00962BB5" w:rsidRDefault="00FD4956" w:rsidP="00FD4956">
      <w:pPr>
        <w:widowControl w:val="0"/>
        <w:spacing w:line="360" w:lineRule="auto"/>
        <w:jc w:val="both"/>
      </w:pPr>
      <w:r w:rsidRPr="005D1E47">
        <w:rPr>
          <w:b/>
          <w:bCs/>
          <w:iCs/>
        </w:rPr>
        <w:t>Warnhinw.</w:t>
      </w:r>
      <w:r>
        <w:t>:</w:t>
      </w:r>
      <w:r w:rsidR="00293BBD">
        <w:t xml:space="preserve"> </w:t>
      </w:r>
      <w:r w:rsidR="00ED28DC">
        <w:t xml:space="preserve">Enth. Na-metabisulfit. </w:t>
      </w:r>
      <w:r w:rsidR="00962BB5">
        <w:t xml:space="preserve">Anw.-Hinw. beachten! </w:t>
      </w:r>
    </w:p>
    <w:p w14:paraId="054BF707" w14:textId="55BF4DCF" w:rsidR="00FD4956" w:rsidRPr="000E4906" w:rsidRDefault="00FD4956" w:rsidP="00FD4956">
      <w:pPr>
        <w:widowControl w:val="0"/>
        <w:spacing w:line="360" w:lineRule="auto"/>
        <w:jc w:val="both"/>
      </w:pPr>
      <w:r w:rsidRPr="000959D8">
        <w:t>Beeintr. d. Reakt.sverm.</w:t>
      </w:r>
      <w:r>
        <w:t xml:space="preserve"> mögl.! </w:t>
      </w:r>
      <w:r w:rsidRPr="004C164A">
        <w:rPr>
          <w:rFonts w:eastAsia="MS Mincho"/>
        </w:rPr>
        <w:t xml:space="preserve">Angaben gekürzt </w:t>
      </w:r>
      <w:r>
        <w:rPr>
          <w:rFonts w:eastAsia="MS Mincho"/>
        </w:rPr>
        <w:t>-</w:t>
      </w:r>
      <w:r w:rsidRPr="004C164A">
        <w:rPr>
          <w:rFonts w:eastAsia="MS Mincho"/>
        </w:rPr>
        <w:t xml:space="preserve"> weitere Einzelheiten entnehmen Sie bitte d. Fach- bzw. Gebrauchsinformation.</w:t>
      </w:r>
      <w:r>
        <w:rPr>
          <w:rFonts w:eastAsia="MS Mincho"/>
        </w:rPr>
        <w:t xml:space="preserve"> </w:t>
      </w:r>
      <w:r w:rsidRPr="00F54A71">
        <w:t>Verschreibungspflichtig</w:t>
      </w:r>
      <w:r w:rsidR="00F54A71">
        <w:t>.</w:t>
      </w:r>
    </w:p>
    <w:p w14:paraId="4E508702" w14:textId="77777777" w:rsidR="00FD4956" w:rsidRDefault="00FD4956" w:rsidP="00FD4956">
      <w:pPr>
        <w:widowControl w:val="0"/>
        <w:spacing w:line="360" w:lineRule="auto"/>
        <w:jc w:val="both"/>
      </w:pPr>
    </w:p>
    <w:p w14:paraId="0D4E117D" w14:textId="14B87FD5" w:rsidR="00FD4956" w:rsidRDefault="009F6342" w:rsidP="009F6342">
      <w:pPr>
        <w:widowControl w:val="0"/>
        <w:spacing w:line="360" w:lineRule="auto"/>
        <w:jc w:val="both"/>
      </w:pPr>
      <w:r>
        <w:t>STADAPHARM GmbH, Stadastraße 2–18, 61118 Bad Vilbel, Deutschland</w:t>
      </w:r>
    </w:p>
    <w:p w14:paraId="3FB960EA" w14:textId="77777777" w:rsidR="00FD4956" w:rsidRDefault="00FD4956" w:rsidP="00FD4956">
      <w:pPr>
        <w:spacing w:line="360" w:lineRule="auto"/>
        <w:ind w:right="140"/>
        <w:jc w:val="both"/>
        <w:rPr>
          <w:rFonts w:cs="Arial"/>
        </w:rPr>
      </w:pPr>
    </w:p>
    <w:p w14:paraId="7EFB0E41" w14:textId="71ABC399" w:rsidR="00822AE9" w:rsidRPr="00822AE9" w:rsidRDefault="00FD4956" w:rsidP="00822AE9">
      <w:pPr>
        <w:widowControl w:val="0"/>
        <w:spacing w:line="360" w:lineRule="auto"/>
        <w:jc w:val="both"/>
      </w:pPr>
      <w:r w:rsidRPr="005D1E47">
        <w:rPr>
          <w:b/>
          <w:bCs/>
        </w:rPr>
        <w:t>Stand:</w:t>
      </w:r>
      <w:r>
        <w:t xml:space="preserve"> </w:t>
      </w:r>
      <w:r w:rsidR="00146D72" w:rsidRPr="00146D72">
        <w:t>Februar 2024</w:t>
      </w:r>
    </w:p>
    <w:p w14:paraId="29B473A8" w14:textId="005ED9BD" w:rsidR="00E86421" w:rsidRPr="00883625" w:rsidRDefault="00E86421" w:rsidP="009F6342">
      <w:pPr>
        <w:widowControl w:val="0"/>
        <w:spacing w:line="360" w:lineRule="auto"/>
        <w:jc w:val="both"/>
        <w:rPr>
          <w:rFonts w:cs="Arial"/>
        </w:rPr>
      </w:pPr>
    </w:p>
    <w:sectPr w:rsidR="00E86421" w:rsidRPr="00883625" w:rsidSect="00EC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D49F" w14:textId="77777777" w:rsidR="00523D91" w:rsidRDefault="00CD08EA">
      <w:r>
        <w:separator/>
      </w:r>
    </w:p>
  </w:endnote>
  <w:endnote w:type="continuationSeparator" w:id="0">
    <w:p w14:paraId="79E73D07" w14:textId="77777777" w:rsidR="00523D91" w:rsidRDefault="00CD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2DA1" w14:textId="77777777" w:rsidR="00146D72" w:rsidRDefault="00146D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E4FA" w14:textId="79C251F4" w:rsidR="00146D72" w:rsidRPr="008B4EEE" w:rsidRDefault="00236BB4" w:rsidP="008B4EEE">
    <w:pPr>
      <w:pStyle w:val="Fuzeile"/>
      <w:ind w:right="360"/>
      <w:rPr>
        <w:sz w:val="16"/>
      </w:rPr>
    </w:pPr>
    <w:r w:rsidRPr="00236BB4">
      <w:rPr>
        <w:sz w:val="16"/>
      </w:rPr>
      <w:t>APO-go</w:t>
    </w:r>
    <w:r w:rsidRPr="00236BB4">
      <w:rPr>
        <w:sz w:val="16"/>
        <w:vertAlign w:val="superscript"/>
      </w:rPr>
      <w:t>®</w:t>
    </w:r>
    <w:r w:rsidRPr="00236BB4">
      <w:rPr>
        <w:sz w:val="16"/>
      </w:rPr>
      <w:t xml:space="preserve"> 5 mg/ml Infusionslösung in einer Patrone</w:t>
    </w:r>
    <w:r>
      <w:rPr>
        <w:sz w:val="16"/>
      </w:rPr>
      <w:t xml:space="preserve"> –</w:t>
    </w:r>
    <w:r w:rsidR="00FD4956" w:rsidRPr="00022FC4" w:rsidDel="00AC23F8">
      <w:rPr>
        <w:sz w:val="16"/>
      </w:rPr>
      <w:t xml:space="preserve"> </w:t>
    </w:r>
    <w:r w:rsidRPr="00236BB4">
      <w:rPr>
        <w:sz w:val="16"/>
      </w:rPr>
      <w:t xml:space="preserve">STADAPHARM GmbH </w:t>
    </w:r>
    <w:r>
      <w:rPr>
        <w:sz w:val="16"/>
      </w:rPr>
      <w:t xml:space="preserve">– </w:t>
    </w:r>
    <w:r w:rsidR="00FD4956" w:rsidRPr="00022FC4">
      <w:rPr>
        <w:sz w:val="16"/>
      </w:rPr>
      <w:t>Pflichttext f. Fachkreise</w:t>
    </w:r>
    <w:r w:rsidR="00FD4956">
      <w:rPr>
        <w:rFonts w:cs="Arial"/>
        <w:color w:val="FF0000"/>
        <w:sz w:val="16"/>
        <w:szCs w:val="16"/>
      </w:rPr>
      <w:tab/>
    </w:r>
    <w:r w:rsidR="00FD4956" w:rsidRPr="004A75C9">
      <w:rPr>
        <w:rFonts w:cs="Arial"/>
        <w:sz w:val="18"/>
        <w:szCs w:val="18"/>
      </w:rPr>
      <w:t xml:space="preserve">Seite </w:t>
    </w:r>
    <w:r w:rsidR="00FD4956" w:rsidRPr="008B145B">
      <w:rPr>
        <w:rStyle w:val="Seitenzahl"/>
        <w:sz w:val="18"/>
        <w:szCs w:val="18"/>
      </w:rPr>
      <w:fldChar w:fldCharType="begin"/>
    </w:r>
    <w:r w:rsidR="00FD4956" w:rsidRPr="004A75C9">
      <w:rPr>
        <w:rStyle w:val="Seitenzahl"/>
        <w:sz w:val="18"/>
        <w:szCs w:val="18"/>
      </w:rPr>
      <w:instrText xml:space="preserve"> PAGE </w:instrText>
    </w:r>
    <w:r w:rsidR="00FD4956" w:rsidRPr="008B145B">
      <w:rPr>
        <w:rStyle w:val="Seitenzahl"/>
        <w:sz w:val="18"/>
        <w:szCs w:val="18"/>
      </w:rPr>
      <w:fldChar w:fldCharType="separate"/>
    </w:r>
    <w:r w:rsidR="007B63FF" w:rsidRPr="004A75C9">
      <w:rPr>
        <w:rStyle w:val="Seitenzahl"/>
        <w:noProof/>
        <w:sz w:val="18"/>
        <w:szCs w:val="18"/>
      </w:rPr>
      <w:t>1</w:t>
    </w:r>
    <w:r w:rsidR="00FD4956" w:rsidRPr="008B145B">
      <w:rPr>
        <w:rStyle w:val="Seitenzahl"/>
        <w:sz w:val="18"/>
        <w:szCs w:val="18"/>
      </w:rPr>
      <w:fldChar w:fldCharType="end"/>
    </w:r>
    <w:r w:rsidR="00FD4956" w:rsidRPr="004A75C9">
      <w:rPr>
        <w:rStyle w:val="Seitenzahl"/>
        <w:rFonts w:cs="Arial"/>
        <w:sz w:val="18"/>
        <w:szCs w:val="18"/>
      </w:rPr>
      <w:t xml:space="preserve"> von </w:t>
    </w:r>
    <w:r w:rsidR="00FD4956" w:rsidRPr="008B145B">
      <w:rPr>
        <w:rStyle w:val="Seitenzahl"/>
        <w:sz w:val="18"/>
        <w:szCs w:val="18"/>
      </w:rPr>
      <w:fldChar w:fldCharType="begin"/>
    </w:r>
    <w:r w:rsidR="00FD4956" w:rsidRPr="004A75C9">
      <w:rPr>
        <w:rStyle w:val="Seitenzahl"/>
        <w:sz w:val="18"/>
        <w:szCs w:val="18"/>
      </w:rPr>
      <w:instrText xml:space="preserve"> NUMPAGES </w:instrText>
    </w:r>
    <w:r w:rsidR="00FD4956" w:rsidRPr="008B145B">
      <w:rPr>
        <w:rStyle w:val="Seitenzahl"/>
        <w:sz w:val="18"/>
        <w:szCs w:val="18"/>
      </w:rPr>
      <w:fldChar w:fldCharType="separate"/>
    </w:r>
    <w:r w:rsidR="007B63FF" w:rsidRPr="004A75C9">
      <w:rPr>
        <w:rStyle w:val="Seitenzahl"/>
        <w:noProof/>
        <w:sz w:val="18"/>
        <w:szCs w:val="18"/>
      </w:rPr>
      <w:t>1</w:t>
    </w:r>
    <w:r w:rsidR="00FD4956" w:rsidRPr="008B145B">
      <w:rPr>
        <w:rStyle w:val="Seitenzah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5B0C" w14:textId="77777777" w:rsidR="00146D72" w:rsidRDefault="00146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52D6" w14:textId="77777777" w:rsidR="00523D91" w:rsidRDefault="00CD08EA">
      <w:r>
        <w:separator/>
      </w:r>
    </w:p>
  </w:footnote>
  <w:footnote w:type="continuationSeparator" w:id="0">
    <w:p w14:paraId="4D162F1D" w14:textId="77777777" w:rsidR="00523D91" w:rsidRDefault="00CD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E486" w14:textId="77777777" w:rsidR="00146D72" w:rsidRDefault="00146D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A255" w14:textId="5FDDE02D" w:rsidR="005222D2" w:rsidRDefault="005222D2" w:rsidP="00CD08EA">
    <w:pPr>
      <w:pStyle w:val="Kopfzeile"/>
      <w:tabs>
        <w:tab w:val="clear" w:pos="4536"/>
        <w:tab w:val="clear" w:pos="9072"/>
        <w:tab w:val="right" w:pos="9070"/>
      </w:tabs>
      <w:rPr>
        <w:b/>
        <w:vanish/>
        <w:sz w:val="16"/>
        <w:szCs w:val="16"/>
      </w:rPr>
    </w:pPr>
    <w:r w:rsidRPr="005115D4">
      <w:rPr>
        <w:b/>
        <w:vanish/>
        <w:sz w:val="16"/>
        <w:szCs w:val="16"/>
      </w:rPr>
      <w:t>IE/H/658</w:t>
    </w:r>
  </w:p>
  <w:p w14:paraId="2E0E6FCF" w14:textId="792DB10F" w:rsidR="00146D72" w:rsidRDefault="00FD4956" w:rsidP="005A1DFC">
    <w:pPr>
      <w:tabs>
        <w:tab w:val="right" w:pos="9070"/>
      </w:tabs>
      <w:rPr>
        <w:vanish/>
        <w:sz w:val="16"/>
        <w:szCs w:val="16"/>
      </w:rPr>
    </w:pPr>
    <w:r w:rsidRPr="00CD08EA">
      <w:rPr>
        <w:vanish/>
        <w:sz w:val="16"/>
        <w:szCs w:val="16"/>
      </w:rPr>
      <w:t xml:space="preserve">Vorl.: FI Stand </w:t>
    </w:r>
    <w:r w:rsidR="003F4BCE">
      <w:rPr>
        <w:rFonts w:eastAsia="MS Mincho"/>
        <w:vanish/>
        <w:sz w:val="16"/>
        <w:szCs w:val="16"/>
      </w:rPr>
      <w:t>202</w:t>
    </w:r>
    <w:r w:rsidR="00146D72">
      <w:rPr>
        <w:rFonts w:eastAsia="MS Mincho"/>
        <w:vanish/>
        <w:sz w:val="16"/>
        <w:szCs w:val="16"/>
      </w:rPr>
      <w:t>4</w:t>
    </w:r>
    <w:r w:rsidR="00822AE9">
      <w:rPr>
        <w:rFonts w:eastAsia="MS Mincho"/>
        <w:vanish/>
        <w:sz w:val="16"/>
        <w:szCs w:val="16"/>
      </w:rPr>
      <w:t>/0</w:t>
    </w:r>
    <w:r w:rsidR="00146D72">
      <w:rPr>
        <w:rFonts w:eastAsia="MS Mincho"/>
        <w:vanish/>
        <w:sz w:val="16"/>
        <w:szCs w:val="16"/>
      </w:rPr>
      <w:t>2</w:t>
    </w:r>
    <w:r w:rsidRPr="00CD08EA">
      <w:rPr>
        <w:rFonts w:eastAsia="MS Mincho"/>
        <w:vanish/>
        <w:sz w:val="16"/>
        <w:szCs w:val="16"/>
      </w:rPr>
      <w:t xml:space="preserve"> (</w:t>
    </w:r>
    <w:r w:rsidR="00474784" w:rsidRPr="00474784">
      <w:rPr>
        <w:rFonts w:eastAsia="MS Mincho"/>
        <w:vanish/>
        <w:sz w:val="16"/>
        <w:szCs w:val="16"/>
      </w:rPr>
      <w:t>2024-10-02/HH</w:t>
    </w:r>
    <w:r w:rsidRPr="00CD08EA">
      <w:rPr>
        <w:rFonts w:eastAsia="MS Mincho"/>
        <w:vanish/>
        <w:sz w:val="16"/>
        <w:szCs w:val="16"/>
      </w:rPr>
      <w:t>)</w:t>
    </w:r>
    <w:r w:rsidR="005222D2">
      <w:rPr>
        <w:rFonts w:eastAsia="MS Mincho"/>
        <w:vanish/>
        <w:sz w:val="16"/>
        <w:szCs w:val="16"/>
      </w:rPr>
      <w:t>,</w:t>
    </w:r>
    <w:r w:rsidR="005222D2" w:rsidRPr="005222D2">
      <w:rPr>
        <w:vanish/>
        <w:sz w:val="16"/>
        <w:szCs w:val="16"/>
      </w:rPr>
      <w:t xml:space="preserve"> </w:t>
    </w:r>
    <w:r w:rsidR="005222D2" w:rsidRPr="00215BCA">
      <w:rPr>
        <w:vanish/>
        <w:sz w:val="16"/>
        <w:szCs w:val="16"/>
      </w:rPr>
      <w:t>FS (</w:t>
    </w:r>
    <w:r w:rsidR="00576192" w:rsidRPr="00576192">
      <w:rPr>
        <w:rFonts w:eastAsia="MS Mincho"/>
        <w:vanish/>
        <w:sz w:val="16"/>
        <w:szCs w:val="16"/>
      </w:rPr>
      <w:t>2022-07-12/BB</w:t>
    </w:r>
    <w:r w:rsidR="005222D2" w:rsidRPr="00215BCA">
      <w:rPr>
        <w:rFonts w:eastAsia="MS Mincho"/>
        <w:vanish/>
        <w:sz w:val="16"/>
        <w:szCs w:val="16"/>
      </w:rPr>
      <w:t>)</w:t>
    </w:r>
    <w:r w:rsidR="00CD08EA">
      <w:rPr>
        <w:vanish/>
        <w:sz w:val="16"/>
        <w:szCs w:val="16"/>
      </w:rPr>
      <w:tab/>
    </w:r>
    <w:r w:rsidR="003F4BCE">
      <w:rPr>
        <w:vanish/>
        <w:sz w:val="16"/>
        <w:szCs w:val="16"/>
      </w:rPr>
      <w:t>2024</w:t>
    </w:r>
    <w:r w:rsidR="005A1DFC">
      <w:rPr>
        <w:vanish/>
        <w:sz w:val="16"/>
        <w:szCs w:val="16"/>
      </w:rPr>
      <w:t>-</w:t>
    </w:r>
    <w:r w:rsidR="00146D72">
      <w:rPr>
        <w:vanish/>
        <w:sz w:val="16"/>
        <w:szCs w:val="16"/>
      </w:rPr>
      <w:t>10-</w:t>
    </w:r>
    <w:r w:rsidR="006644F4">
      <w:rPr>
        <w:vanish/>
        <w:sz w:val="16"/>
        <w:szCs w:val="16"/>
      </w:rPr>
      <w:t>24/HH</w:t>
    </w:r>
  </w:p>
  <w:p w14:paraId="6F559A3B" w14:textId="29123ECC" w:rsidR="00CD08EA" w:rsidRPr="00CD08EA" w:rsidRDefault="00F80E13" w:rsidP="00425339">
    <w:pPr>
      <w:pStyle w:val="Kopfzeile"/>
      <w:rPr>
        <w:vanish/>
        <w:sz w:val="16"/>
        <w:szCs w:val="16"/>
      </w:rPr>
    </w:pPr>
    <w:r w:rsidRPr="00F80E13">
      <w:rPr>
        <w:vanish/>
        <w:sz w:val="16"/>
        <w:szCs w:val="16"/>
      </w:rPr>
      <w:t xml:space="preserve">Warnhinw.: </w:t>
    </w:r>
    <w:r>
      <w:rPr>
        <w:vanish/>
        <w:sz w:val="16"/>
        <w:szCs w:val="16"/>
      </w:rPr>
      <w:t>„</w:t>
    </w:r>
    <w:r w:rsidRPr="00F80E13">
      <w:rPr>
        <w:vanish/>
        <w:sz w:val="16"/>
        <w:szCs w:val="16"/>
      </w:rPr>
      <w:t>Enth. Na-metabisulfit</w:t>
    </w:r>
    <w:r>
      <w:rPr>
        <w:vanish/>
        <w:sz w:val="16"/>
        <w:szCs w:val="16"/>
      </w:rPr>
      <w:t>.“</w:t>
    </w:r>
    <w:r w:rsidRPr="00F80E13">
      <w:rPr>
        <w:vanish/>
        <w:sz w:val="16"/>
        <w:szCs w:val="16"/>
      </w:rPr>
      <w:t xml:space="preserve"> aufgenommen gem. BSHL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65BF" w14:textId="77777777" w:rsidR="00146D72" w:rsidRDefault="00146D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192"/>
    <w:multiLevelType w:val="hybridMultilevel"/>
    <w:tmpl w:val="85CEC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71FD1"/>
    <w:multiLevelType w:val="hybridMultilevel"/>
    <w:tmpl w:val="013E1AF2"/>
    <w:lvl w:ilvl="0" w:tplc="8BC6D03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14A5F"/>
    <w:multiLevelType w:val="hybridMultilevel"/>
    <w:tmpl w:val="362C8316"/>
    <w:lvl w:ilvl="0" w:tplc="3E5A5F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83B62"/>
    <w:multiLevelType w:val="hybridMultilevel"/>
    <w:tmpl w:val="29F26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0E4"/>
    <w:multiLevelType w:val="hybridMultilevel"/>
    <w:tmpl w:val="A9B4E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5135">
    <w:abstractNumId w:val="3"/>
  </w:num>
  <w:num w:numId="2" w16cid:durableId="2143763560">
    <w:abstractNumId w:val="4"/>
  </w:num>
  <w:num w:numId="3" w16cid:durableId="1097940626">
    <w:abstractNumId w:val="2"/>
  </w:num>
  <w:num w:numId="4" w16cid:durableId="114913028">
    <w:abstractNumId w:val="0"/>
  </w:num>
  <w:num w:numId="5" w16cid:durableId="66030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56"/>
    <w:rsid w:val="00002692"/>
    <w:rsid w:val="00014C7C"/>
    <w:rsid w:val="00044493"/>
    <w:rsid w:val="00045317"/>
    <w:rsid w:val="000504C8"/>
    <w:rsid w:val="00060EBD"/>
    <w:rsid w:val="000C0EA2"/>
    <w:rsid w:val="000C412C"/>
    <w:rsid w:val="000F792B"/>
    <w:rsid w:val="00146D72"/>
    <w:rsid w:val="001625B8"/>
    <w:rsid w:val="001D46B3"/>
    <w:rsid w:val="001F015C"/>
    <w:rsid w:val="00211359"/>
    <w:rsid w:val="00236BB4"/>
    <w:rsid w:val="00293BBD"/>
    <w:rsid w:val="002D14F4"/>
    <w:rsid w:val="002D7F32"/>
    <w:rsid w:val="003356CE"/>
    <w:rsid w:val="00383738"/>
    <w:rsid w:val="00392411"/>
    <w:rsid w:val="003B311E"/>
    <w:rsid w:val="003D5DF2"/>
    <w:rsid w:val="003E090B"/>
    <w:rsid w:val="003F4BCE"/>
    <w:rsid w:val="004202EA"/>
    <w:rsid w:val="00433CE3"/>
    <w:rsid w:val="00443783"/>
    <w:rsid w:val="00474784"/>
    <w:rsid w:val="0047764F"/>
    <w:rsid w:val="00492767"/>
    <w:rsid w:val="00496DB3"/>
    <w:rsid w:val="00497E67"/>
    <w:rsid w:val="004A75C9"/>
    <w:rsid w:val="004F5B21"/>
    <w:rsid w:val="005115D4"/>
    <w:rsid w:val="005222D2"/>
    <w:rsid w:val="00523D91"/>
    <w:rsid w:val="00575B81"/>
    <w:rsid w:val="00576192"/>
    <w:rsid w:val="00577123"/>
    <w:rsid w:val="00586F41"/>
    <w:rsid w:val="005918BA"/>
    <w:rsid w:val="005963AB"/>
    <w:rsid w:val="005A1DFC"/>
    <w:rsid w:val="005C6128"/>
    <w:rsid w:val="005D1E47"/>
    <w:rsid w:val="005D6770"/>
    <w:rsid w:val="005E0CD0"/>
    <w:rsid w:val="005F3A81"/>
    <w:rsid w:val="005F4014"/>
    <w:rsid w:val="005F4986"/>
    <w:rsid w:val="006110D1"/>
    <w:rsid w:val="0062323E"/>
    <w:rsid w:val="00640E2E"/>
    <w:rsid w:val="00646C83"/>
    <w:rsid w:val="00652F9A"/>
    <w:rsid w:val="006644F4"/>
    <w:rsid w:val="00676783"/>
    <w:rsid w:val="006D773A"/>
    <w:rsid w:val="007111DA"/>
    <w:rsid w:val="00713503"/>
    <w:rsid w:val="0071569B"/>
    <w:rsid w:val="00725951"/>
    <w:rsid w:val="007659DA"/>
    <w:rsid w:val="00771A45"/>
    <w:rsid w:val="00772B36"/>
    <w:rsid w:val="00791758"/>
    <w:rsid w:val="007B63FF"/>
    <w:rsid w:val="007C466A"/>
    <w:rsid w:val="007D1400"/>
    <w:rsid w:val="00822AE9"/>
    <w:rsid w:val="00857E44"/>
    <w:rsid w:val="00883625"/>
    <w:rsid w:val="008A2196"/>
    <w:rsid w:val="008E0BE9"/>
    <w:rsid w:val="008E6EA2"/>
    <w:rsid w:val="008F05AF"/>
    <w:rsid w:val="008F0CC3"/>
    <w:rsid w:val="00907482"/>
    <w:rsid w:val="00910AFD"/>
    <w:rsid w:val="00936AF5"/>
    <w:rsid w:val="00936DC9"/>
    <w:rsid w:val="00960BE9"/>
    <w:rsid w:val="00962BB5"/>
    <w:rsid w:val="00966B23"/>
    <w:rsid w:val="00972DE1"/>
    <w:rsid w:val="00977542"/>
    <w:rsid w:val="009F6342"/>
    <w:rsid w:val="00A109FE"/>
    <w:rsid w:val="00A531AE"/>
    <w:rsid w:val="00AC69FF"/>
    <w:rsid w:val="00AE3614"/>
    <w:rsid w:val="00B03922"/>
    <w:rsid w:val="00B32139"/>
    <w:rsid w:val="00B427B0"/>
    <w:rsid w:val="00B957BD"/>
    <w:rsid w:val="00BA5BAF"/>
    <w:rsid w:val="00BC249F"/>
    <w:rsid w:val="00BE18CE"/>
    <w:rsid w:val="00C22D35"/>
    <w:rsid w:val="00C548EB"/>
    <w:rsid w:val="00CC577C"/>
    <w:rsid w:val="00CD08EA"/>
    <w:rsid w:val="00D07CE5"/>
    <w:rsid w:val="00D11DD2"/>
    <w:rsid w:val="00DF067D"/>
    <w:rsid w:val="00E00106"/>
    <w:rsid w:val="00E003B0"/>
    <w:rsid w:val="00E04822"/>
    <w:rsid w:val="00E21378"/>
    <w:rsid w:val="00E86421"/>
    <w:rsid w:val="00E97B9F"/>
    <w:rsid w:val="00EC3434"/>
    <w:rsid w:val="00EC79C7"/>
    <w:rsid w:val="00ED28DC"/>
    <w:rsid w:val="00EE70C9"/>
    <w:rsid w:val="00EE7B7F"/>
    <w:rsid w:val="00EF005D"/>
    <w:rsid w:val="00F22031"/>
    <w:rsid w:val="00F319A9"/>
    <w:rsid w:val="00F54A71"/>
    <w:rsid w:val="00F80E13"/>
    <w:rsid w:val="00FA00E9"/>
    <w:rsid w:val="00FD42F8"/>
    <w:rsid w:val="00F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95DDD10"/>
  <w15:chartTrackingRefBased/>
  <w15:docId w15:val="{14FF6F6E-C5DF-4661-B94E-8AB850B6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956"/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D49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4956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rsid w:val="00FD49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D4956"/>
    <w:rPr>
      <w:rFonts w:ascii="Arial" w:eastAsia="Times New Roman" w:hAnsi="Arial" w:cs="Times New Roman"/>
      <w:lang w:eastAsia="de-DE"/>
    </w:rPr>
  </w:style>
  <w:style w:type="character" w:styleId="Seitenzahl">
    <w:name w:val="page number"/>
    <w:basedOn w:val="Absatz-Standardschriftart"/>
    <w:rsid w:val="00FD4956"/>
  </w:style>
  <w:style w:type="character" w:styleId="Kommentarzeichen">
    <w:name w:val="annotation reference"/>
    <w:semiHidden/>
    <w:rsid w:val="00FD49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FD49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D4956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9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956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CD08EA"/>
    <w:rPr>
      <w:rFonts w:ascii="Arial" w:eastAsia="Times New Roman" w:hAnsi="Arial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08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08EA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F01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STADA Arzneimittel AG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 AR/PSUSA_CF_20180508</dc:creator>
  <cp:keywords/>
  <dc:description/>
  <cp:lastModifiedBy>Heinisch-Holz Marion</cp:lastModifiedBy>
  <cp:revision>59</cp:revision>
  <dcterms:created xsi:type="dcterms:W3CDTF">2018-05-15T08:51:00Z</dcterms:created>
  <dcterms:modified xsi:type="dcterms:W3CDTF">2024-10-24T04:49:00Z</dcterms:modified>
</cp:coreProperties>
</file>